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E47A" w14:textId="77777777" w:rsidR="000B401A" w:rsidRPr="002820C6" w:rsidRDefault="009E21CB" w:rsidP="00D82F9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820C6">
        <w:rPr>
          <w:rFonts w:ascii="Times New Roman" w:eastAsia="Times New Roman" w:hAnsi="Times New Roman"/>
          <w:b/>
          <w:bCs/>
        </w:rPr>
        <w:t xml:space="preserve">Үндэсний аудитын газрын 2021 оны </w:t>
      </w:r>
      <w:r w:rsidR="008048EF" w:rsidRPr="002820C6">
        <w:rPr>
          <w:rFonts w:ascii="Times New Roman" w:eastAsia="Times New Roman" w:hAnsi="Times New Roman"/>
          <w:b/>
          <w:bCs/>
        </w:rPr>
        <w:t>эхний хагас жил</w:t>
      </w:r>
      <w:r w:rsidR="000B401A" w:rsidRPr="002820C6">
        <w:rPr>
          <w:rFonts w:ascii="Times New Roman" w:eastAsia="Times New Roman" w:hAnsi="Times New Roman"/>
          <w:b/>
          <w:bCs/>
        </w:rPr>
        <w:t>ийн</w:t>
      </w:r>
    </w:p>
    <w:p w14:paraId="099D5BE5" w14:textId="456B542D" w:rsidR="009E21CB" w:rsidRPr="002820C6" w:rsidRDefault="009E21CB" w:rsidP="00D82F9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820C6">
        <w:rPr>
          <w:rFonts w:ascii="Times New Roman" w:eastAsia="Times New Roman" w:hAnsi="Times New Roman"/>
          <w:b/>
          <w:bCs/>
        </w:rPr>
        <w:t>Удирдлагын шуурхай хуралдаанаар өгөгдсөн үүрэг даалгаврын биелэлт</w:t>
      </w:r>
      <w:r w:rsidR="000B401A" w:rsidRPr="002820C6">
        <w:rPr>
          <w:rFonts w:ascii="Times New Roman" w:eastAsia="Times New Roman" w:hAnsi="Times New Roman"/>
          <w:b/>
          <w:bCs/>
        </w:rPr>
        <w:t xml:space="preserve"> гаргах маягт</w:t>
      </w:r>
    </w:p>
    <w:p w14:paraId="3AC4CA59" w14:textId="5C61285A" w:rsidR="001F5F23" w:rsidRPr="002820C6" w:rsidRDefault="00197E8B" w:rsidP="00197E8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820C6">
        <w:rPr>
          <w:rFonts w:ascii="Times New Roman" w:eastAsia="Times New Roman" w:hAnsi="Times New Roman"/>
          <w:sz w:val="20"/>
          <w:szCs w:val="20"/>
        </w:rPr>
        <w:t>2021.</w:t>
      </w:r>
      <w:r w:rsidR="00C75950" w:rsidRPr="002820C6">
        <w:rPr>
          <w:rFonts w:ascii="Times New Roman" w:eastAsia="Times New Roman" w:hAnsi="Times New Roman"/>
          <w:sz w:val="20"/>
          <w:szCs w:val="20"/>
        </w:rPr>
        <w:t>06.07</w:t>
      </w:r>
      <w:r w:rsidR="00FB6354" w:rsidRPr="002820C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820C6" w:rsidRPr="002820C6">
        <w:rPr>
          <w:rFonts w:ascii="Times New Roman" w:eastAsia="Times New Roman" w:hAnsi="Times New Roman"/>
          <w:sz w:val="20"/>
          <w:szCs w:val="20"/>
        </w:rPr>
        <w:t xml:space="preserve">                                  </w:t>
      </w:r>
      <w:r w:rsidR="00FB6354" w:rsidRPr="002820C6">
        <w:rPr>
          <w:rFonts w:ascii="Times New Roman" w:eastAsia="Times New Roman" w:hAnsi="Times New Roman"/>
          <w:sz w:val="20"/>
          <w:szCs w:val="20"/>
        </w:rPr>
        <w:t xml:space="preserve"> Хавсралт 2</w:t>
      </w:r>
    </w:p>
    <w:tbl>
      <w:tblPr>
        <w:tblpPr w:leftFromText="180" w:rightFromText="180" w:bottomFromText="160" w:vertAnchor="text" w:tblpX="-289" w:tblpY="1"/>
        <w:tblOverlap w:val="never"/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481"/>
        <w:gridCol w:w="1441"/>
        <w:gridCol w:w="1438"/>
        <w:gridCol w:w="1261"/>
        <w:gridCol w:w="1889"/>
        <w:gridCol w:w="1261"/>
        <w:gridCol w:w="1170"/>
      </w:tblGrid>
      <w:tr w:rsidR="002820C6" w:rsidRPr="002820C6" w14:paraId="17826E25" w14:textId="5EA688C8" w:rsidTr="002820C6">
        <w:trPr>
          <w:trHeight w:val="55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11623D" w14:textId="64EBDEC1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5B7B07" w14:textId="77777777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D01ECD" w14:textId="28A23582" w:rsidR="00C33EDA" w:rsidRPr="002820C6" w:rsidRDefault="00FB6354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Үүрэг даалгаварын </w:t>
            </w:r>
            <w:r w:rsidR="00C33EDA" w:rsidRPr="002820C6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3A613B" w14:textId="7BEF9723" w:rsidR="00C33EDA" w:rsidRPr="002820C6" w:rsidRDefault="00C33EDA" w:rsidP="00C33ED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Хугацаа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755674" w14:textId="3DE7962E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Хариуцан хэрэгжүүлсэн газар, алба</w:t>
            </w:r>
          </w:p>
        </w:tc>
        <w:tc>
          <w:tcPr>
            <w:tcW w:w="781" w:type="pct"/>
            <w:gridSpan w:val="2"/>
            <w:shd w:val="clear" w:color="auto" w:fill="BFBFBF" w:themeFill="background1" w:themeFillShade="BF"/>
            <w:vAlign w:val="center"/>
          </w:tcPr>
          <w:p w14:paraId="35DA39E6" w14:textId="0FEBECD9" w:rsidR="00C33EDA" w:rsidRPr="002820C6" w:rsidRDefault="00C33EDA" w:rsidP="00C33EDA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Хариуцан хэрэгжүүлсэн газар, алба</w:t>
            </w:r>
          </w:p>
        </w:tc>
      </w:tr>
      <w:tr w:rsidR="002820C6" w:rsidRPr="002820C6" w14:paraId="3971D2E5" w14:textId="77777777" w:rsidTr="002820C6">
        <w:trPr>
          <w:trHeight w:val="553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EBF3EE" w14:textId="40048E4F" w:rsidR="00C33EDA" w:rsidRPr="002820C6" w:rsidRDefault="00626760" w:rsidP="00C33ED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УШХ-нй </w:t>
            </w:r>
            <w:r w:rsidR="00C33EDA" w:rsidRPr="002820C6">
              <w:rPr>
                <w:rFonts w:ascii="Times New Roman" w:eastAsia="Times New Roman" w:hAnsi="Times New Roman"/>
                <w:b/>
                <w:sz w:val="20"/>
                <w:szCs w:val="20"/>
              </w:rPr>
              <w:t>д/д</w:t>
            </w:r>
          </w:p>
        </w:tc>
        <w:tc>
          <w:tcPr>
            <w:tcW w:w="20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78752BA" w14:textId="4077DF06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Өгөгдсөн үүрэг даалгавар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604A92" w14:textId="5A7437A3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7F228F1" w14:textId="77777777" w:rsidR="00C33EDA" w:rsidRPr="002820C6" w:rsidRDefault="00C33EDA" w:rsidP="00C33ED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19610B" w14:textId="6C3C1773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Газар, алба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ACC561" w14:textId="585C775C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Албан тушаал, нэр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1CE0AD" w14:textId="634BAF6C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Ажлын гүйцэтгэл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E3F66E" w14:textId="51F74CD9" w:rsidR="00C33EDA" w:rsidRPr="002820C6" w:rsidRDefault="00C33EDA" w:rsidP="00C33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Хэрэгжсэн эсэх</w:t>
            </w:r>
          </w:p>
        </w:tc>
      </w:tr>
      <w:tr w:rsidR="00185120" w:rsidRPr="002820C6" w14:paraId="48835511" w14:textId="77777777" w:rsidTr="002820C6">
        <w:trPr>
          <w:trHeight w:val="395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6A7A575" w14:textId="253D3EAB" w:rsidR="00185120" w:rsidRPr="002820C6" w:rsidRDefault="00185120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sz w:val="20"/>
                <w:szCs w:val="20"/>
              </w:rPr>
              <w:t>2021.06.07</w:t>
            </w:r>
          </w:p>
        </w:tc>
      </w:tr>
      <w:tr w:rsidR="002820C6" w:rsidRPr="002820C6" w14:paraId="670387B8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75A" w14:textId="7E559EFC" w:rsidR="00185120" w:rsidRPr="002820C6" w:rsidRDefault="00185120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0855B" w14:textId="7FB64AAA" w:rsidR="00185120" w:rsidRPr="002820C6" w:rsidRDefault="00DD16CF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ОНТАГ-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>тай</w:t>
            </w:r>
            <w:r w:rsidR="00CC1EE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 байнга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уялдаа холбоотой ажиллаж  </w:t>
            </w:r>
            <w:r w:rsidR="00D82F9B" w:rsidRPr="002820C6">
              <w:rPr>
                <w:rFonts w:ascii="Times New Roman" w:hAnsi="Times New Roman"/>
                <w:bCs/>
                <w:sz w:val="20"/>
                <w:szCs w:val="20"/>
              </w:rPr>
              <w:t>удирдлага зохион байгуулалт</w:t>
            </w:r>
            <w:r w:rsidR="00C83445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аар 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шуурхай </w:t>
            </w:r>
            <w:r w:rsidR="00C83445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хангаж </w:t>
            </w:r>
            <w:r w:rsidR="002F732D" w:rsidRPr="002820C6">
              <w:rPr>
                <w:rFonts w:ascii="Times New Roman" w:hAnsi="Times New Roman"/>
                <w:bCs/>
                <w:sz w:val="20"/>
                <w:szCs w:val="20"/>
              </w:rPr>
              <w:t>ажиллах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CFD8" w14:textId="076C607D" w:rsidR="00185120" w:rsidRPr="002820C6" w:rsidRDefault="00DC746C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A7EDE" w14:textId="239334F7" w:rsidR="00185120" w:rsidRPr="002820C6" w:rsidRDefault="00DC746C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байнга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786C" w14:textId="77777777" w:rsidR="00F454B7" w:rsidRPr="002820C6" w:rsidRDefault="00F454B7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МУЕАО </w:t>
            </w:r>
          </w:p>
          <w:p w14:paraId="63F1C59D" w14:textId="0939E059" w:rsidR="00F454B7" w:rsidRPr="002820C6" w:rsidRDefault="00F454B7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ТГ ЗУГ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6D54" w14:textId="627040F9" w:rsidR="00185120" w:rsidRPr="002820C6" w:rsidRDefault="00F454B7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Ц.Наранчимэг Г.ЭрдэнэцэцэгЦ.Ганболд</w:t>
            </w:r>
          </w:p>
          <w:p w14:paraId="4D37165D" w14:textId="6E29B7BA" w:rsidR="00F454B7" w:rsidRPr="002820C6" w:rsidRDefault="00F454B7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820C6">
              <w:rPr>
                <w:rFonts w:ascii="Times New Roman" w:eastAsia="Times New Roman" w:hAnsi="Times New Roman"/>
                <w:sz w:val="20"/>
                <w:szCs w:val="20"/>
              </w:rPr>
              <w:t>Ш.Үнэнтөгс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D110" w14:textId="5C643A16" w:rsidR="00185120" w:rsidRPr="002820C6" w:rsidRDefault="00185120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4681" w14:textId="122546D8" w:rsidR="00185120" w:rsidRPr="002820C6" w:rsidRDefault="00185120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403C4FC0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324" w14:textId="086F095B" w:rsidR="004B0B64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5C2B" w14:textId="50724985" w:rsidR="004B0B64" w:rsidRPr="002820C6" w:rsidRDefault="004B0B64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Төрийн аудитын байгууллагын 100 жилийн ойг тэмдэглэх</w:t>
            </w:r>
            <w:r w:rsidR="00261B8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талаар ОНТАГ-ын удирдлагуудыг  оролцуулан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зөвлөгөөн хийх</w:t>
            </w:r>
            <w:r w:rsidR="00261B8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 бэлтгэл ажлыг хангаж,   зохион байгуулах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3A3" w14:textId="5C6DF98E" w:rsidR="004B0B64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0CAFD" w14:textId="5232DC6F" w:rsidR="004B0B64" w:rsidRPr="002820C6" w:rsidRDefault="004B0B64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</w:t>
            </w:r>
            <w:r w:rsidR="00261B88" w:rsidRPr="002820C6">
              <w:rPr>
                <w:rFonts w:ascii="Times New Roman" w:hAnsi="Times New Roman"/>
                <w:sz w:val="20"/>
                <w:szCs w:val="20"/>
              </w:rPr>
              <w:t>07-</w:t>
            </w:r>
            <w:r w:rsidRPr="002820C6">
              <w:rPr>
                <w:rFonts w:ascii="Times New Roman" w:hAnsi="Times New Roman"/>
                <w:sz w:val="20"/>
                <w:szCs w:val="20"/>
              </w:rPr>
              <w:t>2021.07.</w:t>
            </w:r>
            <w:r w:rsidR="00261B88" w:rsidRPr="002820C6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1D49" w14:textId="76FF506C" w:rsidR="004B0B64" w:rsidRPr="002820C6" w:rsidRDefault="00261B88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ТГ ЗУГ 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709" w14:textId="6FE1BD6A" w:rsidR="004B0B64" w:rsidRPr="002820C6" w:rsidRDefault="00261B88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Ц.Ганболд</w:t>
            </w:r>
            <w:r w:rsidR="00CE3099"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Ш.Үнэнтөгс  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32FA" w14:textId="77777777" w:rsidR="004B0B64" w:rsidRPr="002820C6" w:rsidRDefault="004B0B64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49171" w14:textId="77777777" w:rsidR="004B0B64" w:rsidRPr="002820C6" w:rsidRDefault="004B0B64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3FE65954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C28" w14:textId="2F15683E" w:rsidR="00261B88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0ED5D" w14:textId="242904D1" w:rsidR="00261B88" w:rsidRPr="002820C6" w:rsidRDefault="00261B88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Ардын хувьсгалын 100 жилийн ойн баярыг угтан</w:t>
            </w:r>
            <w:r w:rsidR="00C545ED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ТАБ-ын  албан хаагчыг 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төрийн одон медаль болон салбар</w:t>
            </w:r>
            <w:r w:rsidR="00C545ED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ын, байгууллагын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 шагналд </w:t>
            </w:r>
            <w:r w:rsidR="00C545ED" w:rsidRPr="002820C6">
              <w:rPr>
                <w:rFonts w:ascii="Times New Roman" w:hAnsi="Times New Roman"/>
                <w:bCs/>
                <w:sz w:val="20"/>
                <w:szCs w:val="20"/>
              </w:rPr>
              <w:t>тодорхойлох</w:t>
            </w:r>
            <w:r w:rsidR="00CC1EE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ажлыг </w:t>
            </w:r>
            <w:r w:rsidR="00C545ED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зохион байгуулах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D2BD" w14:textId="020BA1AB" w:rsidR="00261B88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78136" w14:textId="147EE2D7" w:rsidR="00261B88" w:rsidRPr="002820C6" w:rsidRDefault="00C545ED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BAF" w14:textId="56C1B21D" w:rsidR="00261B88" w:rsidRPr="002820C6" w:rsidRDefault="00C545ED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ЗУГ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DD0" w14:textId="445F5D30" w:rsidR="00261B88" w:rsidRPr="002820C6" w:rsidRDefault="00C545ED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Ш.Үнэнтөгс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8F7" w14:textId="77777777" w:rsidR="00261B88" w:rsidRPr="002820C6" w:rsidRDefault="00261B88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844DB" w14:textId="77777777" w:rsidR="00261B88" w:rsidRPr="002820C6" w:rsidRDefault="00261B88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47075A93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19A" w14:textId="14B64FC5" w:rsidR="00C545ED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8D805" w14:textId="44459A58" w:rsidR="00C545ED" w:rsidRPr="002820C6" w:rsidRDefault="00C545ED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Нэр бүхий ОНТАГ-ын  удирдах ажилтныг сонгон шалгаруул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алт,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шалгалт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дүнг баталгааж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улах  зэргийг зохион байгуулж дуусгах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FEB3" w14:textId="1345D1E0" w:rsidR="00C545ED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EEC6C" w14:textId="407CD6E8" w:rsidR="00C545ED" w:rsidRPr="002820C6" w:rsidRDefault="00C545ED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B72" w14:textId="51320641" w:rsidR="00C545ED" w:rsidRPr="002820C6" w:rsidRDefault="00C545ED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ТГ ЗУГ 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095" w14:textId="32EAE661" w:rsidR="00C545ED" w:rsidRPr="002820C6" w:rsidRDefault="00C545ED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Ц.Ганболд Ш.Үнэнтөгс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787F" w14:textId="77777777" w:rsidR="00C545ED" w:rsidRPr="002820C6" w:rsidRDefault="00C545ED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78E35" w14:textId="77777777" w:rsidR="00C545ED" w:rsidRPr="002820C6" w:rsidRDefault="00C545ED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299BA900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F90" w14:textId="0907A28B" w:rsidR="00185120" w:rsidRPr="002820C6" w:rsidRDefault="00185120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610C7" w14:textId="1C8C950D" w:rsidR="00185120" w:rsidRPr="002820C6" w:rsidRDefault="00CC1EE8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Аудитын 1,2-р газрууд ОНТАГ-аас 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судалгаа 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>гаргуулж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судалгаанууд давхцалтай байгаа нь  ажлын ачаалал үүсгэсэн байна. 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Судалгаа авах шаардлагатай </w:t>
            </w:r>
            <w:r w:rsidR="00F454B7" w:rsidRPr="002820C6">
              <w:rPr>
                <w:rFonts w:ascii="Times New Roman" w:hAnsi="Times New Roman"/>
                <w:bCs/>
                <w:sz w:val="20"/>
                <w:szCs w:val="20"/>
              </w:rPr>
              <w:t>холбогдох газрууд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байнга хэрэглэгдэх</w:t>
            </w:r>
            <w:r w:rsidR="00BB5E86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шаардлагатай </w:t>
            </w:r>
            <w:r w:rsidR="00DC746C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судалгааны маягт</w:t>
            </w:r>
            <w:r w:rsidR="00F454B7" w:rsidRPr="002820C6">
              <w:rPr>
                <w:rFonts w:ascii="Times New Roman" w:hAnsi="Times New Roman"/>
                <w:bCs/>
                <w:sz w:val="20"/>
                <w:szCs w:val="20"/>
              </w:rPr>
              <w:t>ыг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давхцалгүй</w:t>
            </w:r>
            <w:r w:rsidR="00885E07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>боловсруулж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885E07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судалгаа авах 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цаг 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>хугацааг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85E07" w:rsidRPr="002820C6">
              <w:rPr>
                <w:rFonts w:ascii="Times New Roman" w:hAnsi="Times New Roman"/>
                <w:bCs/>
                <w:sz w:val="20"/>
                <w:szCs w:val="20"/>
              </w:rPr>
              <w:t>тогтмол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сар, </w:t>
            </w:r>
            <w:r w:rsidR="00F454B7" w:rsidRPr="002820C6">
              <w:rPr>
                <w:rFonts w:ascii="Times New Roman" w:hAnsi="Times New Roman"/>
                <w:bCs/>
                <w:sz w:val="20"/>
                <w:szCs w:val="20"/>
              </w:rPr>
              <w:t>улирал, жил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>ээр</w:t>
            </w:r>
            <w:r w:rsidR="00885E07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>гарга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даг болох </w:t>
            </w:r>
            <w:r w:rsidR="00885E07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ажлыг зохион байгуул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алтыг хийж</w:t>
            </w:r>
            <w:r w:rsidR="0053425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B4A46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C746C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454B7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танилцуулах </w:t>
            </w:r>
            <w:r w:rsidR="00DC746C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B5E86" w:rsidRPr="002820C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/Судалгаа авах шаардлагатай бүтцийн нэгжийн бүх дарга нарт хамааралтай/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77C" w14:textId="747A6925" w:rsidR="00185120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ABE0C" w14:textId="329A16EB" w:rsidR="00185120" w:rsidRPr="002820C6" w:rsidRDefault="00CE3099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 xml:space="preserve"> 2021.06.15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37C" w14:textId="67BA0F7F" w:rsidR="00185120" w:rsidRPr="002820C6" w:rsidRDefault="00CB4A46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МУЕАО</w:t>
            </w:r>
            <w:r w:rsidR="00BB5E86"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34397859" w14:textId="2A050BCC" w:rsidR="00CB4A46" w:rsidRPr="002820C6" w:rsidRDefault="00CB4A46" w:rsidP="001851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sz w:val="20"/>
                <w:szCs w:val="20"/>
              </w:rPr>
              <w:t>Бүтцийн нэгжийн дарга нар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E8F8" w14:textId="77777777" w:rsidR="00885E07" w:rsidRPr="002820C6" w:rsidRDefault="00CB4A46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Ц.Наранчимэг Г.Эрдэнэцэцэг</w:t>
            </w:r>
          </w:p>
          <w:p w14:paraId="26AC2736" w14:textId="778B62BD" w:rsidR="00CB4A46" w:rsidRPr="002820C6" w:rsidRDefault="00CB4A46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Ц.Ганболд</w:t>
            </w:r>
          </w:p>
          <w:p w14:paraId="69550CF3" w14:textId="77777777" w:rsidR="00185120" w:rsidRPr="002820C6" w:rsidRDefault="00CB4A46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sz w:val="20"/>
                <w:szCs w:val="20"/>
              </w:rPr>
              <w:t>Ш.Үнэнтөгс</w:t>
            </w:r>
          </w:p>
          <w:p w14:paraId="1BCACBB2" w14:textId="17331354" w:rsidR="00885E07" w:rsidRPr="002820C6" w:rsidRDefault="00885E07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sz w:val="20"/>
                <w:szCs w:val="20"/>
              </w:rPr>
              <w:t>Ц.Энхжавхлан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39F7" w14:textId="7A425A56" w:rsidR="00185120" w:rsidRPr="002820C6" w:rsidRDefault="00185120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D8B73" w14:textId="77777777" w:rsidR="00185120" w:rsidRPr="002820C6" w:rsidRDefault="00185120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330A87DC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3D7" w14:textId="09F96880" w:rsidR="00BB5E86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1C068" w14:textId="6B568D55" w:rsidR="00BB5E86" w:rsidRPr="002820C6" w:rsidRDefault="00BB5E86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2021 оны эхний хагас жилийн төлөвлөгөөний гүйцэтгэлийг гаргахад бүтцийн нэгжийн дарга нар  </w:t>
            </w:r>
            <w:r w:rsidR="00D5190F" w:rsidRPr="002820C6">
              <w:rPr>
                <w:rFonts w:ascii="Times New Roman" w:hAnsi="Times New Roman"/>
                <w:bCs/>
                <w:sz w:val="20"/>
                <w:szCs w:val="20"/>
              </w:rPr>
              <w:t>аливаа з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ү</w:t>
            </w:r>
            <w:r w:rsidR="00D5190F" w:rsidRPr="002820C6">
              <w:rPr>
                <w:rFonts w:ascii="Times New Roman" w:hAnsi="Times New Roman"/>
                <w:bCs/>
                <w:sz w:val="20"/>
                <w:szCs w:val="20"/>
              </w:rPr>
              <w:t>йлийг урьдчилан хар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ж тооцоолон,</w:t>
            </w:r>
            <w:r w:rsidR="00D5190F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зохион байгуулалт хийж,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дутуу болон хийгдээгүй ажил байгаа эсэх, хэрэгжүүлсэн хугацаа, тоо баримт судалгаа мэдээллийг бүрэн  тайлагнах зэргийг сай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тар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анхаарах,  ХШҮДАГ бусад нэгжийн тайлан гаргах явцыг  удирдлага арга зүйгээр хангаж ажиллах,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38D" w14:textId="1720A269" w:rsidR="00BB5E86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F5608" w14:textId="42CC17B2" w:rsidR="00BB5E86" w:rsidRPr="002820C6" w:rsidRDefault="00AD093E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AD0" w14:textId="77777777" w:rsidR="00D5190F" w:rsidRPr="002820C6" w:rsidRDefault="00D5190F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МУЕАО </w:t>
            </w:r>
          </w:p>
          <w:p w14:paraId="63945AA1" w14:textId="61F0D71A" w:rsidR="00BB5E86" w:rsidRPr="002820C6" w:rsidRDefault="00D5190F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sz w:val="20"/>
                <w:szCs w:val="20"/>
              </w:rPr>
              <w:t>Бүтцийн нэгжийн дарга нар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B7A4" w14:textId="38BE9927" w:rsidR="00BB5E86" w:rsidRPr="002820C6" w:rsidRDefault="00883B99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ХШҮДАГ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F0A9" w14:textId="77777777" w:rsidR="00BB5E86" w:rsidRPr="002820C6" w:rsidRDefault="00BB5E86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75451" w14:textId="77777777" w:rsidR="00BB5E86" w:rsidRPr="002820C6" w:rsidRDefault="00BB5E86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537E252E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3B7" w14:textId="002F8A5F" w:rsidR="00883B99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4989A" w14:textId="49C8E605" w:rsidR="00883B99" w:rsidRPr="002820C6" w:rsidRDefault="00883B99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Шуурхай хурлаас өгсөн үүрэг болон, А/тушаалын хэрэгжилт хангалттай харагдахгүй, ерөнхий байдлаар мэдээлэл өгч байгаа нь тодорхойгүй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байдал үүсгэж байна. Ялангуяа аудитын үйл ажиллагааг сайжруулах, ажлын хэсгийн үйл ажиллагааны хэрэгжилтийг  санхүү, гүйцэтгэлийн аудит, ажлын хэсэгт хамаарах, бусад газар нэгжид тухайлан заасан үүргийн хэрэгжилтийг шуурхай хуралд байнга танилцуул</w:t>
            </w:r>
            <w:r w:rsidR="004B0B64" w:rsidRPr="002820C6">
              <w:rPr>
                <w:rFonts w:ascii="Times New Roman" w:hAnsi="Times New Roman"/>
                <w:bCs/>
                <w:sz w:val="20"/>
                <w:szCs w:val="20"/>
              </w:rPr>
              <w:t>ж, улирал тутам хэрэгжилтийг үнэлж хяналт тавих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0C9B" w14:textId="21581A19" w:rsidR="00883B99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EA5D" w14:textId="61663DDC" w:rsidR="00CE3099" w:rsidRPr="002820C6" w:rsidRDefault="004B0B64" w:rsidP="00CE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638D24" w14:textId="585C208E" w:rsidR="004B0B64" w:rsidRPr="002820C6" w:rsidRDefault="00AD093E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Тухай бүр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5D89" w14:textId="77777777" w:rsidR="00CE3099" w:rsidRPr="002820C6" w:rsidRDefault="00CE3099" w:rsidP="00CE3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МУЕАО </w:t>
            </w:r>
          </w:p>
          <w:p w14:paraId="2A6009F9" w14:textId="77777777" w:rsidR="00CE3099" w:rsidRPr="002820C6" w:rsidRDefault="00CE3099" w:rsidP="00CE30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lastRenderedPageBreak/>
              <w:t>ЗУГ, ХШҮДАГ</w:t>
            </w:r>
          </w:p>
          <w:p w14:paraId="642AA16D" w14:textId="416B6242" w:rsidR="00883B99" w:rsidRPr="002820C6" w:rsidRDefault="00CE3099" w:rsidP="00CE3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Бүтцийн нэгжийн дарга, Ажлын хэсгийн ахлагч нарт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B267" w14:textId="77777777" w:rsidR="00CE3099" w:rsidRPr="002820C6" w:rsidRDefault="00CE3099" w:rsidP="00CE3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МУЕАО </w:t>
            </w:r>
          </w:p>
          <w:p w14:paraId="3787D211" w14:textId="3849F1A0" w:rsidR="00CE3099" w:rsidRPr="002820C6" w:rsidRDefault="00CE3099" w:rsidP="00CE30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ЗУГ, ХШҮДАГ</w:t>
            </w:r>
          </w:p>
          <w:p w14:paraId="527FBC78" w14:textId="709295F0" w:rsidR="00883B99" w:rsidRPr="002820C6" w:rsidRDefault="00CE3099" w:rsidP="00CE30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lastRenderedPageBreak/>
              <w:t>Бүтцийн нэгжийн дарга, Ажлын хэсгийн ахлагч нарт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AB0" w14:textId="77777777" w:rsidR="00883B99" w:rsidRPr="002820C6" w:rsidRDefault="00883B99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E2569" w14:textId="77777777" w:rsidR="00883B99" w:rsidRPr="002820C6" w:rsidRDefault="00883B99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779D4CEE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414" w14:textId="2474CD93" w:rsidR="00883B99" w:rsidRPr="002820C6" w:rsidRDefault="00CE3099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08C9E" w14:textId="739F4A6B" w:rsidR="00883B99" w:rsidRPr="002820C6" w:rsidRDefault="00883B99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Шинэчлэн батлагдсан Төрийн аудитын тухай хууль хэрэгжиж эхэлснээс хойш 2021 оны тушаал шийдвэрийн хэрэгжилт</w:t>
            </w:r>
            <w:r w:rsidR="004B0B64" w:rsidRPr="002820C6">
              <w:rPr>
                <w:rFonts w:ascii="Times New Roman" w:hAnsi="Times New Roman"/>
                <w:bCs/>
                <w:sz w:val="20"/>
                <w:szCs w:val="20"/>
              </w:rPr>
              <w:t>, удирдлага зохион байгуулалт, чиг үүрэг хэрэгжүүлэх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эд хэрхэн </w:t>
            </w:r>
            <w:r w:rsidR="004B0B64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уялдаа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холб</w:t>
            </w:r>
            <w:r w:rsidR="004B0B64" w:rsidRPr="002820C6">
              <w:rPr>
                <w:rFonts w:ascii="Times New Roman" w:hAnsi="Times New Roman"/>
                <w:bCs/>
                <w:sz w:val="20"/>
                <w:szCs w:val="20"/>
              </w:rPr>
              <w:t>оо</w:t>
            </w:r>
            <w:r w:rsidR="00CE3099" w:rsidRPr="002820C6">
              <w:rPr>
                <w:rFonts w:ascii="Times New Roman" w:hAnsi="Times New Roman"/>
                <w:bCs/>
                <w:sz w:val="20"/>
                <w:szCs w:val="20"/>
              </w:rPr>
              <w:t>той</w:t>
            </w:r>
            <w:r w:rsidR="00FD102D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ажилласан талаарх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эрсд</w:t>
            </w:r>
            <w:r w:rsidR="004B0B64" w:rsidRPr="002820C6">
              <w:rPr>
                <w:rFonts w:ascii="Times New Roman" w:hAnsi="Times New Roman"/>
                <w:bCs/>
                <w:sz w:val="20"/>
                <w:szCs w:val="20"/>
              </w:rPr>
              <w:t>лийг тооцож</w:t>
            </w:r>
            <w:r w:rsidR="00FD102D" w:rsidRPr="002820C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4B0B64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үнэлэх</w:t>
            </w:r>
            <w:r w:rsidR="00FD102D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ажлыг зохион байгуулж, бүтцийн нэгжүүдийг эрсдлээ  тооцож үнэлэх нэгдсэн  арга зүйгээр хангах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82EF" w14:textId="6159DBDF" w:rsidR="00883B99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ED648" w14:textId="3CA3CCB2" w:rsidR="00883B99" w:rsidRPr="002820C6" w:rsidRDefault="00FD102D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2021.07.05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843" w14:textId="44329F77" w:rsidR="00883B99" w:rsidRPr="002820C6" w:rsidRDefault="00883B99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ХШҮДАГ 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2D59" w14:textId="3211EA4C" w:rsidR="00883B99" w:rsidRPr="002820C6" w:rsidRDefault="004B0B64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С.Энхбаатар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72FD" w14:textId="77777777" w:rsidR="00883B99" w:rsidRPr="002820C6" w:rsidRDefault="00883B99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E54F0" w14:textId="77777777" w:rsidR="00883B99" w:rsidRPr="002820C6" w:rsidRDefault="00883B99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24E9F577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2352" w14:textId="6CF48AB8" w:rsidR="00FD102D" w:rsidRPr="002820C6" w:rsidRDefault="00CC1EE8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FE485" w14:textId="596370E8" w:rsidR="00FD102D" w:rsidRPr="002820C6" w:rsidRDefault="00FD102D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ХШҮДАГ-аас өгсөн эрсдэл тооцож, үнэлэх  нэгдсэн зөвлөгөө зөвлөмжийг хэрэгжүүлэн  дотоод бүтцийн нэгжийн захирал дарга нар эрсд</w:t>
            </w:r>
            <w:r w:rsidR="00CC1EE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лээ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тооцо</w:t>
            </w:r>
            <w:r w:rsidR="00626760">
              <w:rPr>
                <w:rFonts w:ascii="Times New Roman" w:hAnsi="Times New Roman"/>
                <w:bCs/>
                <w:sz w:val="20"/>
                <w:szCs w:val="20"/>
              </w:rPr>
              <w:t xml:space="preserve">ж, </w:t>
            </w:r>
            <w:r w:rsidR="00CC1EE8" w:rsidRPr="002820C6"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</w:rPr>
              <w:t>шуурхай хуралдаанд</w:t>
            </w:r>
            <w:r w:rsidR="00CC1EE8" w:rsidRPr="002820C6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, </w:t>
            </w:r>
            <w:r w:rsidR="00CC1EE8" w:rsidRPr="002820C6">
              <w:rPr>
                <w:rFonts w:ascii="Times New Roman" w:hAnsi="Times New Roman"/>
                <w:bCs/>
                <w:color w:val="FF0000"/>
                <w:sz w:val="20"/>
                <w:szCs w:val="20"/>
                <w:highlight w:val="yellow"/>
              </w:rPr>
              <w:t>эсхүл даргад тусгайлан хуваарь гаргаж</w:t>
            </w:r>
            <w:r w:rsidR="00CC1EE8" w:rsidRPr="002820C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CC1EE8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танилцуулах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9317" w14:textId="711CC24E" w:rsidR="00FD102D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9. </w:t>
            </w:r>
            <w:r w:rsidR="00CC1EE8" w:rsidRPr="002820C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Тодруулах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DABDA" w14:textId="1C16A9C7" w:rsidR="00FD102D" w:rsidRPr="002820C6" w:rsidRDefault="00CC1EE8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A382" w14:textId="31C4D029" w:rsidR="00FD102D" w:rsidRPr="002820C6" w:rsidRDefault="00FD102D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Бүтцийн нэгжийн дарга</w:t>
            </w:r>
            <w:r w:rsidR="00CC1EE8" w:rsidRPr="002820C6">
              <w:rPr>
                <w:rFonts w:ascii="Times New Roman" w:hAnsi="Times New Roman"/>
                <w:sz w:val="20"/>
                <w:szCs w:val="20"/>
              </w:rPr>
              <w:t xml:space="preserve"> нар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9FD9" w14:textId="7E25088E" w:rsidR="00FD102D" w:rsidRPr="002820C6" w:rsidRDefault="002820C6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Бүтцийн нэгжийн дарга нар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17B6" w14:textId="77777777" w:rsidR="00FD102D" w:rsidRPr="002820C6" w:rsidRDefault="00FD102D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A465C" w14:textId="77777777" w:rsidR="00FD102D" w:rsidRPr="002820C6" w:rsidRDefault="00FD102D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5518B691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B3E" w14:textId="621A2DB3" w:rsidR="00D5190F" w:rsidRPr="002820C6" w:rsidRDefault="00AD093E" w:rsidP="00AD09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 70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810A" w14:textId="6B792339" w:rsidR="00D5190F" w:rsidRPr="002820C6" w:rsidRDefault="00D5190F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УИХ-ын хаврын чуулган завсарлахаас өмнө 2022 онд аудит хийх сэдэв батлуулахтай холбогдуулан сэдвийн судалгааг урьдчилж танилцуулах</w:t>
            </w:r>
            <w:r w:rsidR="00BA56D4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3C78" w14:textId="6D020561" w:rsidR="00D5190F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8749" w14:textId="412E1A85" w:rsidR="00D5190F" w:rsidRPr="002820C6" w:rsidRDefault="00AD093E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2021.06-18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4DB" w14:textId="77777777" w:rsidR="00D5190F" w:rsidRPr="002820C6" w:rsidRDefault="00D5190F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МУЕАО </w:t>
            </w:r>
          </w:p>
          <w:p w14:paraId="0713BE22" w14:textId="1631CBFA" w:rsidR="00BA56D4" w:rsidRPr="002820C6" w:rsidRDefault="00BA56D4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АГГ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02B1" w14:textId="77777777" w:rsidR="00BA56D4" w:rsidRPr="002820C6" w:rsidRDefault="00D5190F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Ц.Наранчимэг</w:t>
            </w:r>
          </w:p>
          <w:p w14:paraId="1B71E430" w14:textId="166C8C7E" w:rsidR="00D5190F" w:rsidRPr="002820C6" w:rsidRDefault="00BA56D4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Д.Энхболд </w:t>
            </w:r>
            <w:r w:rsidR="00D5190F"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C400" w14:textId="77777777" w:rsidR="00D5190F" w:rsidRPr="002820C6" w:rsidRDefault="00D5190F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B278B" w14:textId="77777777" w:rsidR="00D5190F" w:rsidRPr="002820C6" w:rsidRDefault="00D5190F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36A4F7FF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AD6" w14:textId="7500BE20" w:rsidR="00BA56D4" w:rsidRPr="002820C6" w:rsidRDefault="00CC1EE8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5C230" w14:textId="2335288F" w:rsidR="00BA56D4" w:rsidRPr="002820C6" w:rsidRDefault="00BA56D4" w:rsidP="00AD09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Аудит гүйцэтгэх үе шатны  календарчилсан төлөвлөгөөг аудитын арга зүй, стандартын алинд оруулах боломжтойг судалж, хугацааны хувьд  баримжаатай ажиллах зохион байгуулалтыг хийж   танилцуулах 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B63" w14:textId="552C674E" w:rsidR="00BA56D4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5789" w14:textId="7914D81A" w:rsidR="00BA56D4" w:rsidRPr="002820C6" w:rsidRDefault="00AD093E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2021.06.21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030E" w14:textId="3F5121CE" w:rsidR="00BA56D4" w:rsidRPr="002820C6" w:rsidRDefault="00883B99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МУЕАО АНГ, АХГ, </w:t>
            </w:r>
            <w:r w:rsidR="00BA56D4"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АГГ</w:t>
            </w: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, АДГ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6482" w14:textId="612BF0E6" w:rsidR="00BA56D4" w:rsidRPr="002820C6" w:rsidRDefault="00883B99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Ц.Наранчимэг </w:t>
            </w:r>
            <w:r w:rsidR="00BA56D4"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Ц.Энхжавхлан Д.Энхболд</w:t>
            </w: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Я.Самбууням</w:t>
            </w:r>
            <w:r w:rsidR="00BA56D4"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33ADF34C" w14:textId="268AA03F" w:rsidR="00883B99" w:rsidRPr="002820C6" w:rsidRDefault="00883B99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81D4" w14:textId="77777777" w:rsidR="00BA56D4" w:rsidRPr="002820C6" w:rsidRDefault="00BA56D4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65F9" w14:textId="77777777" w:rsidR="00BA56D4" w:rsidRPr="002820C6" w:rsidRDefault="00BA56D4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18FAE62B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4C8B" w14:textId="3C7BD38F" w:rsidR="00D5190F" w:rsidRPr="002820C6" w:rsidRDefault="00CC1EE8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D093E" w:rsidRPr="002820C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3CED" w14:textId="492229B9" w:rsidR="00D5190F" w:rsidRPr="002820C6" w:rsidRDefault="00D5190F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УИХ-ын хаврын чуулган завсарлахаас өмнө 2022 оны төсвийн төслийг танилцуулсан байх </w:t>
            </w:r>
            <w:r w:rsidR="00DD16CF" w:rsidRPr="002820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r w:rsidR="00DD16CF" w:rsidRPr="002820C6">
              <w:rPr>
                <w:rFonts w:ascii="Times New Roman" w:hAnsi="Times New Roman"/>
                <w:bCs/>
                <w:sz w:val="20"/>
                <w:szCs w:val="20"/>
              </w:rPr>
              <w:t>орон нутгийн интернэт орчинд ажиллах техник хэрэгс</w:t>
            </w:r>
            <w:r w:rsidR="00C83445" w:rsidRPr="002820C6">
              <w:rPr>
                <w:rFonts w:ascii="Times New Roman" w:hAnsi="Times New Roman"/>
                <w:bCs/>
                <w:sz w:val="20"/>
                <w:szCs w:val="20"/>
              </w:rPr>
              <w:t>эл, камер дэлгэц гэх мэтийг</w:t>
            </w:r>
            <w:r w:rsidR="00DD16CF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тооцох</w:t>
            </w:r>
            <w:r w:rsidR="00DD16CF" w:rsidRPr="002820C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0E0F" w14:textId="4DAFFDD9" w:rsidR="00D5190F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A5DF7" w14:textId="10D15872" w:rsidR="00D5190F" w:rsidRPr="002820C6" w:rsidRDefault="00AD093E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CB22" w14:textId="149DF6EC" w:rsidR="00D5190F" w:rsidRPr="002820C6" w:rsidRDefault="00D5190F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>СХОХ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C1AD" w14:textId="496460B5" w:rsidR="00D5190F" w:rsidRPr="002820C6" w:rsidRDefault="00D5190F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Д.Наранцэцэг 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DA05" w14:textId="77777777" w:rsidR="00D5190F" w:rsidRPr="002820C6" w:rsidRDefault="00D5190F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6D94C" w14:textId="77777777" w:rsidR="00D5190F" w:rsidRPr="002820C6" w:rsidRDefault="00D5190F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1C6088D4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8E10" w14:textId="3D02D561" w:rsidR="00DD16CF" w:rsidRPr="002820C6" w:rsidRDefault="00CC1EE8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8BFFF" w14:textId="671E0A65" w:rsidR="00DD16CF" w:rsidRPr="002820C6" w:rsidRDefault="00C83445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Улсын төсвийн хөрөнгө оруулалт,</w:t>
            </w:r>
            <w:r w:rsidR="007E70DF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Оюутолгой аудит</w:t>
            </w:r>
            <w:r w:rsidR="007E70DF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7E70DF" w:rsidRPr="002820C6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7E70DF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Газрын тосны аудитын явцын үр дүнг тус тус  мөн </w:t>
            </w:r>
            <w:r w:rsidR="00C545ED" w:rsidRPr="002820C6">
              <w:rPr>
                <w:rFonts w:ascii="Times New Roman" w:hAnsi="Times New Roman"/>
                <w:bCs/>
                <w:sz w:val="20"/>
                <w:szCs w:val="20"/>
              </w:rPr>
              <w:t>Засгийн газрын санхүүгийн нэгтгэсэн  тайлан</w:t>
            </w:r>
            <w:r w:rsidR="007E70DF"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 танилцуулна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EB7" w14:textId="6997601B" w:rsidR="00DD16CF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C1934" w14:textId="4B423BD2" w:rsidR="00DD16CF" w:rsidRPr="002820C6" w:rsidRDefault="00C545ED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2021.06.07-08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138" w14:textId="37FE4DE9" w:rsidR="00DD16CF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АНГ, АХГ, АГГ, АДГ 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C2DF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Ц.Наранчимэг Ц.Энхжавхлан Д.Энхболд </w:t>
            </w:r>
            <w:r w:rsidRPr="002820C6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</w:rPr>
              <w:t xml:space="preserve">Я.Самбууням </w:t>
            </w:r>
          </w:p>
          <w:p w14:paraId="27BFE874" w14:textId="77777777" w:rsidR="00DD16CF" w:rsidRPr="002820C6" w:rsidRDefault="00DD16CF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C15" w14:textId="77777777" w:rsidR="00DD16CF" w:rsidRPr="002820C6" w:rsidRDefault="00DD16CF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00F1C" w14:textId="77777777" w:rsidR="00DD16CF" w:rsidRPr="002820C6" w:rsidRDefault="00DD16CF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7CAE5DC5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4C7" w14:textId="6C4C1AA9" w:rsidR="00C83445" w:rsidRPr="002820C6" w:rsidRDefault="00CC1EE8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11A55" w14:textId="7C5F17E8" w:rsidR="00C83445" w:rsidRPr="002820C6" w:rsidRDefault="007E70DF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2021 оны эхний хагас жил дуусаж байгаатай холбогдуулан ажлын ачаалал нэмэгдэх тул цахимаар ажиллах хуваарьт газрын захирал, дарга, менежерүүд орохгүй.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DFA8" w14:textId="410EC8C8" w:rsidR="00C83445" w:rsidRPr="002820C6" w:rsidRDefault="00AD093E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01362" w14:textId="56978A0A" w:rsidR="00C83445" w:rsidRPr="002820C6" w:rsidRDefault="00CC1EE8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 xml:space="preserve">2021.07.09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9142" w14:textId="775D4F2A" w:rsidR="00C83445" w:rsidRPr="002820C6" w:rsidRDefault="00CC1EE8" w:rsidP="00D519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Бүтцийн нэгжийн дарга нар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826" w14:textId="687CA59A" w:rsidR="00C83445" w:rsidRPr="002820C6" w:rsidRDefault="002820C6" w:rsidP="00CB4A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Бүтцийн нэгжийн дарга нар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4E94" w14:textId="77777777" w:rsidR="00C83445" w:rsidRPr="002820C6" w:rsidRDefault="00C83445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65882" w14:textId="77777777" w:rsidR="00C83445" w:rsidRPr="002820C6" w:rsidRDefault="00C83445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0B3287EE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B96" w14:textId="1549F5EC" w:rsidR="002820C6" w:rsidRPr="002820C6" w:rsidRDefault="002820C6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9EC6F" w14:textId="3DE01CDE" w:rsidR="002820C6" w:rsidRPr="002820C6" w:rsidRDefault="002820C6" w:rsidP="00F454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 xml:space="preserve">2021 оны үйл ажиллагааны тайлан, Нэгдсэн төсвийн гүйцэтгэл, Засгийн газрын санхүүгийн нэгтгэсэн  тайлан УИХ-д танилцуулах бэлтгэл ажлыг хангахад  Аудитын газрууд чиг үүргийн дагуу маш сайн зохион байгуулалттай ажиллах,  Дэмжих үйл ажиллагааны чиглэлийг  </w:t>
            </w: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Г.Эрдэнэцэцэг, Мэдээлэл технологийн холбогдох дата мэдээллийг жигд өгөх  асуудлыг Д.Энхтуяа,   Тамгын газар, ХБТГ  дээрх   ажлуудыг  уялдуулахад анхаарч,  газруудын хуваарь гаргаж танилцуулах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2A61" w14:textId="3E1F2FCD" w:rsidR="002820C6" w:rsidRPr="002820C6" w:rsidRDefault="002820C6" w:rsidP="001851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68CBA" w14:textId="5A1DA26D" w:rsidR="002820C6" w:rsidRPr="002820C6" w:rsidRDefault="002820C6" w:rsidP="00185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2021.06.18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8BF8" w14:textId="639504DD" w:rsidR="002820C6" w:rsidRPr="002820C6" w:rsidRDefault="002820C6" w:rsidP="00D519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АХГ АГГ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7F1C" w14:textId="76FB0696" w:rsidR="002820C6" w:rsidRPr="002820C6" w:rsidRDefault="002820C6" w:rsidP="00CB4A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Ц.Наранчимэг Д.Энхболд</w:t>
            </w: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4318" w14:textId="77777777" w:rsidR="002820C6" w:rsidRPr="002820C6" w:rsidRDefault="002820C6" w:rsidP="00185120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AB51B" w14:textId="77777777" w:rsidR="002820C6" w:rsidRPr="002820C6" w:rsidRDefault="002820C6" w:rsidP="001851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05C9B67A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A31" w14:textId="07BA629D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0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B9211" w14:textId="08661465" w:rsidR="002820C6" w:rsidRPr="002820C6" w:rsidRDefault="002820C6" w:rsidP="002820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Цахим хуралдаанд оролцож байгаа удирдлагуудын бэлтгэлийг сайн хангаж О.Тэгшгэрэл даргын  дутуу техник хэрэгслийг хангах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7B" w14:textId="77777777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D8AE69" w14:textId="77777777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8F6EF8" w14:textId="10B69757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BA053" w14:textId="77777777" w:rsidR="002820C6" w:rsidRPr="002820C6" w:rsidRDefault="002820C6" w:rsidP="002820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078142" w14:textId="77777777" w:rsidR="002820C6" w:rsidRPr="002820C6" w:rsidRDefault="002820C6" w:rsidP="002820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A0DCEF" w14:textId="5D626D49" w:rsidR="002820C6" w:rsidRPr="002820C6" w:rsidRDefault="002820C6" w:rsidP="002820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2021.06.07-14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9DB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A4C0AB0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548A98C" w14:textId="7DA33C44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МТТ</w:t>
            </w: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1EF816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6EE5D33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0C4FC478" w14:textId="114CA63F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0C6">
              <w:rPr>
                <w:rFonts w:ascii="Times New Roman" w:hAnsi="Times New Roman"/>
                <w:sz w:val="20"/>
                <w:szCs w:val="20"/>
              </w:rPr>
              <w:t>Д.Энхтуяа</w:t>
            </w:r>
          </w:p>
          <w:p w14:paraId="0F9D28D8" w14:textId="3500B3B5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96CD" w14:textId="77777777" w:rsidR="002820C6" w:rsidRPr="002820C6" w:rsidRDefault="002820C6" w:rsidP="002820C6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9F004" w14:textId="77777777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20C6" w:rsidRPr="002820C6" w14:paraId="21C936CA" w14:textId="77777777" w:rsidTr="002820C6">
        <w:trPr>
          <w:trHeight w:val="526"/>
        </w:trPr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FCC" w14:textId="1AED3EA3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82" w:type="pct"/>
          </w:tcPr>
          <w:p w14:paraId="6AFCEB6E" w14:textId="4C79DAF3" w:rsidR="002820C6" w:rsidRPr="002820C6" w:rsidRDefault="002820C6" w:rsidP="002820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820C6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 xml:space="preserve"> 2021.01.06-2021.06.07 хүртэлх 9 удаагийн хуралдаанаар 75 үүрэг өгөгдсөн байна.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F41" w14:textId="0B4CC34E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62" w:type="pct"/>
          </w:tcPr>
          <w:p w14:paraId="627BA07E" w14:textId="205CF870" w:rsidR="002820C6" w:rsidRPr="002820C6" w:rsidRDefault="002820C6" w:rsidP="002820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215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BC8DE3C" w14:textId="28B70D4D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255A0C" w14:textId="77777777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2402832F" w14:textId="37995B34" w:rsidR="002820C6" w:rsidRPr="002820C6" w:rsidRDefault="002820C6" w:rsidP="002820C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5E52" w14:textId="77777777" w:rsidR="002820C6" w:rsidRPr="002820C6" w:rsidRDefault="002820C6" w:rsidP="002820C6">
            <w:pPr>
              <w:jc w:val="both"/>
              <w:rPr>
                <w:rFonts w:ascii="Times New Roman" w:eastAsia="Arial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224C4" w14:textId="77777777" w:rsidR="002820C6" w:rsidRPr="002820C6" w:rsidRDefault="002820C6" w:rsidP="00282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</w:tbl>
    <w:p w14:paraId="029A5CE0" w14:textId="2E77D5B2" w:rsidR="0058576D" w:rsidRPr="002820C6" w:rsidRDefault="0058576D" w:rsidP="002820C6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464DD0A6" w14:textId="77777777" w:rsidR="0058576D" w:rsidRPr="002820C6" w:rsidRDefault="0058576D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51CAA58A" w14:textId="57A381DC" w:rsidR="00122CBD" w:rsidRPr="002820C6" w:rsidRDefault="00122CBD" w:rsidP="00122CBD">
      <w:pPr>
        <w:tabs>
          <w:tab w:val="left" w:pos="2160"/>
        </w:tabs>
        <w:spacing w:after="0" w:line="240" w:lineRule="auto"/>
        <w:ind w:left="2160" w:firstLine="180"/>
        <w:rPr>
          <w:rFonts w:ascii="Times New Roman" w:hAnsi="Times New Roman"/>
          <w:i/>
          <w:sz w:val="20"/>
          <w:szCs w:val="20"/>
          <w:lang w:val="en-US"/>
        </w:rPr>
      </w:pPr>
      <w:r w:rsidRPr="002820C6">
        <w:rPr>
          <w:rFonts w:ascii="Times New Roman" w:hAnsi="Times New Roman"/>
          <w:i/>
          <w:sz w:val="20"/>
          <w:szCs w:val="20"/>
        </w:rPr>
        <w:t xml:space="preserve">Хянасан: </w:t>
      </w:r>
    </w:p>
    <w:p w14:paraId="663D74D9" w14:textId="77777777" w:rsidR="00122CBD" w:rsidRPr="002820C6" w:rsidRDefault="00122CBD" w:rsidP="00122CBD">
      <w:pPr>
        <w:tabs>
          <w:tab w:val="left" w:pos="2160"/>
        </w:tabs>
        <w:spacing w:after="0" w:line="240" w:lineRule="auto"/>
        <w:ind w:left="2160" w:firstLine="180"/>
        <w:rPr>
          <w:rFonts w:ascii="Times New Roman" w:hAnsi="Times New Roman"/>
          <w:sz w:val="20"/>
          <w:szCs w:val="20"/>
        </w:rPr>
      </w:pPr>
      <w:r w:rsidRPr="002820C6">
        <w:rPr>
          <w:rFonts w:ascii="Times New Roman" w:hAnsi="Times New Roman"/>
          <w:sz w:val="20"/>
          <w:szCs w:val="20"/>
        </w:rPr>
        <w:t xml:space="preserve">ЗАХИРГАА, УДИРДЛАГЫН  ГАЗРЫН </w:t>
      </w:r>
    </w:p>
    <w:p w14:paraId="5EB8A13E" w14:textId="77777777" w:rsidR="00122CBD" w:rsidRPr="002820C6" w:rsidRDefault="00122CBD" w:rsidP="00122CBD">
      <w:pPr>
        <w:tabs>
          <w:tab w:val="left" w:pos="2160"/>
        </w:tabs>
        <w:spacing w:after="0" w:line="240" w:lineRule="auto"/>
        <w:ind w:left="2160" w:firstLine="180"/>
        <w:rPr>
          <w:rFonts w:ascii="Times New Roman" w:hAnsi="Times New Roman"/>
          <w:sz w:val="20"/>
          <w:szCs w:val="20"/>
        </w:rPr>
      </w:pPr>
      <w:r w:rsidRPr="002820C6">
        <w:rPr>
          <w:rFonts w:ascii="Times New Roman" w:hAnsi="Times New Roman"/>
          <w:sz w:val="20"/>
          <w:szCs w:val="20"/>
        </w:rPr>
        <w:t>ДАРГА, ТЭРГҮҮЛЭХ АУДИТОР</w:t>
      </w:r>
      <w:r w:rsidRPr="002820C6">
        <w:rPr>
          <w:rFonts w:ascii="Times New Roman" w:hAnsi="Times New Roman"/>
          <w:sz w:val="20"/>
          <w:szCs w:val="20"/>
        </w:rPr>
        <w:tab/>
      </w:r>
      <w:r w:rsidRPr="002820C6">
        <w:rPr>
          <w:rFonts w:ascii="Times New Roman" w:hAnsi="Times New Roman"/>
          <w:sz w:val="20"/>
          <w:szCs w:val="20"/>
        </w:rPr>
        <w:tab/>
        <w:t>................................</w:t>
      </w:r>
      <w:r w:rsidRPr="002820C6">
        <w:rPr>
          <w:rFonts w:ascii="Times New Roman" w:hAnsi="Times New Roman"/>
          <w:sz w:val="20"/>
          <w:szCs w:val="20"/>
        </w:rPr>
        <w:tab/>
        <w:t xml:space="preserve"> /Ш.ҮНЭНТӨГС/</w:t>
      </w:r>
    </w:p>
    <w:p w14:paraId="6C0E9D64" w14:textId="77777777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rPr>
          <w:rFonts w:ascii="Times New Roman" w:hAnsi="Times New Roman"/>
          <w:i/>
          <w:sz w:val="20"/>
          <w:szCs w:val="20"/>
        </w:rPr>
      </w:pPr>
    </w:p>
    <w:p w14:paraId="07B8E551" w14:textId="77777777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jc w:val="center"/>
        <w:rPr>
          <w:rFonts w:ascii="Times New Roman" w:hAnsi="Times New Roman"/>
          <w:i/>
          <w:sz w:val="20"/>
          <w:szCs w:val="20"/>
        </w:rPr>
      </w:pPr>
    </w:p>
    <w:p w14:paraId="5B41FBC3" w14:textId="500D0C6F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jc w:val="center"/>
        <w:rPr>
          <w:rFonts w:ascii="Times New Roman" w:hAnsi="Times New Roman"/>
          <w:i/>
          <w:sz w:val="20"/>
          <w:szCs w:val="20"/>
        </w:rPr>
      </w:pPr>
      <w:r w:rsidRPr="002820C6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2820C6">
        <w:rPr>
          <w:rFonts w:ascii="Times New Roman" w:hAnsi="Times New Roman"/>
          <w:i/>
          <w:sz w:val="20"/>
          <w:szCs w:val="20"/>
        </w:rPr>
        <w:tab/>
        <w:t xml:space="preserve">        </w:t>
      </w:r>
    </w:p>
    <w:p w14:paraId="0D644F8B" w14:textId="154C36B4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jc w:val="center"/>
        <w:rPr>
          <w:rFonts w:ascii="Times New Roman" w:hAnsi="Times New Roman"/>
          <w:i/>
          <w:sz w:val="20"/>
          <w:szCs w:val="20"/>
        </w:rPr>
      </w:pPr>
      <w:r w:rsidRPr="002820C6">
        <w:rPr>
          <w:rFonts w:ascii="Times New Roman" w:hAnsi="Times New Roman"/>
          <w:i/>
          <w:sz w:val="20"/>
          <w:szCs w:val="20"/>
        </w:rPr>
        <w:t xml:space="preserve">                                </w:t>
      </w:r>
    </w:p>
    <w:p w14:paraId="5C4C49F5" w14:textId="781C3D66" w:rsidR="00122CBD" w:rsidRPr="002820C6" w:rsidRDefault="00122CBD" w:rsidP="00122CBD">
      <w:pPr>
        <w:tabs>
          <w:tab w:val="left" w:pos="2160"/>
        </w:tabs>
        <w:spacing w:after="0" w:line="240" w:lineRule="auto"/>
        <w:ind w:left="2160" w:firstLine="180"/>
        <w:rPr>
          <w:rFonts w:ascii="Times New Roman" w:hAnsi="Times New Roman"/>
          <w:i/>
          <w:sz w:val="20"/>
          <w:szCs w:val="20"/>
        </w:rPr>
      </w:pPr>
      <w:r w:rsidRPr="002820C6">
        <w:rPr>
          <w:rFonts w:ascii="Times New Roman" w:hAnsi="Times New Roman"/>
          <w:i/>
          <w:sz w:val="20"/>
          <w:szCs w:val="20"/>
        </w:rPr>
        <w:t xml:space="preserve">Нэгтгэж боловсруулсан: </w:t>
      </w:r>
    </w:p>
    <w:p w14:paraId="75BE1A43" w14:textId="77777777" w:rsidR="00122CBD" w:rsidRPr="002820C6" w:rsidRDefault="00122CBD" w:rsidP="00122CBD">
      <w:pPr>
        <w:tabs>
          <w:tab w:val="left" w:pos="2160"/>
        </w:tabs>
        <w:spacing w:after="0" w:line="240" w:lineRule="auto"/>
        <w:ind w:left="2160" w:firstLine="180"/>
        <w:rPr>
          <w:rFonts w:ascii="Times New Roman" w:hAnsi="Times New Roman"/>
          <w:sz w:val="20"/>
          <w:szCs w:val="20"/>
        </w:rPr>
      </w:pPr>
      <w:r w:rsidRPr="002820C6">
        <w:rPr>
          <w:rFonts w:ascii="Times New Roman" w:hAnsi="Times New Roman"/>
          <w:sz w:val="20"/>
          <w:szCs w:val="20"/>
        </w:rPr>
        <w:t xml:space="preserve">ЗАХИРГАА, УДИРДЛАГЫН  ГАЗРЫН </w:t>
      </w:r>
    </w:p>
    <w:p w14:paraId="19026983" w14:textId="5151F1DF" w:rsidR="00122CBD" w:rsidRPr="002820C6" w:rsidRDefault="00122CBD" w:rsidP="00122CBD">
      <w:pPr>
        <w:tabs>
          <w:tab w:val="left" w:pos="2160"/>
        </w:tabs>
        <w:spacing w:after="0" w:line="240" w:lineRule="auto"/>
        <w:ind w:left="2160" w:firstLine="180"/>
        <w:rPr>
          <w:rFonts w:ascii="Times New Roman" w:hAnsi="Times New Roman"/>
          <w:sz w:val="20"/>
          <w:szCs w:val="20"/>
        </w:rPr>
      </w:pPr>
      <w:r w:rsidRPr="002820C6">
        <w:rPr>
          <w:rFonts w:ascii="Times New Roman" w:hAnsi="Times New Roman"/>
          <w:sz w:val="20"/>
          <w:szCs w:val="20"/>
        </w:rPr>
        <w:t xml:space="preserve">ЗАХИРГААНЫ ШИНЖЭЭЧ </w:t>
      </w:r>
      <w:r w:rsidRPr="002820C6">
        <w:rPr>
          <w:rFonts w:ascii="Times New Roman" w:hAnsi="Times New Roman"/>
          <w:sz w:val="20"/>
          <w:szCs w:val="20"/>
        </w:rPr>
        <w:tab/>
      </w:r>
      <w:r w:rsidRPr="002820C6">
        <w:rPr>
          <w:rFonts w:ascii="Times New Roman" w:hAnsi="Times New Roman"/>
          <w:sz w:val="20"/>
          <w:szCs w:val="20"/>
        </w:rPr>
        <w:tab/>
        <w:t xml:space="preserve">            ............................... / Д.ЭРДЭНЭТУЯА /</w:t>
      </w:r>
    </w:p>
    <w:p w14:paraId="0C969318" w14:textId="77777777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jc w:val="center"/>
        <w:rPr>
          <w:rFonts w:ascii="Times New Roman" w:hAnsi="Times New Roman"/>
          <w:i/>
          <w:sz w:val="20"/>
          <w:szCs w:val="20"/>
        </w:rPr>
      </w:pPr>
    </w:p>
    <w:p w14:paraId="0795C4A8" w14:textId="23452932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jc w:val="center"/>
        <w:rPr>
          <w:rFonts w:ascii="Times New Roman" w:hAnsi="Times New Roman"/>
          <w:i/>
          <w:sz w:val="20"/>
          <w:szCs w:val="20"/>
        </w:rPr>
      </w:pPr>
      <w:r w:rsidRPr="002820C6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2820C6">
        <w:rPr>
          <w:rFonts w:ascii="Times New Roman" w:hAnsi="Times New Roman"/>
          <w:i/>
          <w:sz w:val="20"/>
          <w:szCs w:val="20"/>
        </w:rPr>
        <w:tab/>
        <w:t xml:space="preserve">         </w:t>
      </w:r>
    </w:p>
    <w:p w14:paraId="17A618B5" w14:textId="5B513D67" w:rsidR="00122CBD" w:rsidRPr="002820C6" w:rsidRDefault="00122CBD" w:rsidP="00122CBD">
      <w:pPr>
        <w:tabs>
          <w:tab w:val="left" w:pos="2160"/>
        </w:tabs>
        <w:spacing w:after="0" w:line="240" w:lineRule="auto"/>
        <w:ind w:left="1440" w:firstLine="180"/>
        <w:jc w:val="center"/>
        <w:rPr>
          <w:rFonts w:ascii="Times New Roman" w:hAnsi="Times New Roman"/>
          <w:i/>
          <w:sz w:val="20"/>
          <w:szCs w:val="20"/>
        </w:rPr>
      </w:pPr>
      <w:r w:rsidRPr="002820C6">
        <w:rPr>
          <w:rFonts w:ascii="Times New Roman" w:hAnsi="Times New Roman"/>
          <w:i/>
          <w:sz w:val="20"/>
          <w:szCs w:val="20"/>
        </w:rPr>
        <w:t xml:space="preserve">                             </w:t>
      </w:r>
    </w:p>
    <w:p w14:paraId="5A0E89A8" w14:textId="77777777" w:rsidR="00122CBD" w:rsidRPr="002820C6" w:rsidRDefault="00122CBD" w:rsidP="00122CBD">
      <w:pPr>
        <w:jc w:val="center"/>
        <w:rPr>
          <w:rFonts w:ascii="Times New Roman" w:hAnsi="Times New Roman"/>
          <w:sz w:val="20"/>
          <w:szCs w:val="20"/>
        </w:rPr>
      </w:pPr>
      <w:r w:rsidRPr="002820C6">
        <w:rPr>
          <w:rFonts w:ascii="Times New Roman" w:hAnsi="Times New Roman"/>
          <w:sz w:val="20"/>
          <w:szCs w:val="20"/>
        </w:rPr>
        <w:t xml:space="preserve"> </w:t>
      </w:r>
    </w:p>
    <w:p w14:paraId="7F3B5A85" w14:textId="230C9402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496D596" w14:textId="198CB290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45AAF456" w14:textId="4A6C5FA8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A9E96C2" w14:textId="710A6B70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7C89529" w14:textId="250F07E9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4CAF2A18" w14:textId="76EEBA40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F6C19CB" w14:textId="312653FE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2671098C" w14:textId="59880445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52189EB0" w14:textId="158C94B1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4D30FA1B" w14:textId="6AF7B34D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BA6747A" w14:textId="7BCF4E8C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5B055615" w14:textId="76C43BF7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613D78DA" w14:textId="0E52226F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7FFFAAA0" w14:textId="0E41C612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C586374" w14:textId="35EC147C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CDAAD7E" w14:textId="2C3E8973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762BCFF9" w14:textId="09D68370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57D1C75" w14:textId="2BB973E5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49FE54C" w14:textId="052C4491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E4F2BBF" w14:textId="0E4DF34A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5F7B1A80" w14:textId="10B47852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767890C4" w14:textId="0A56AB23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39F021FA" w14:textId="4C543981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562EE0DB" w14:textId="5F7506FA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2799815C" w14:textId="47046669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ED9A8A2" w14:textId="4F270433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26D8FEF5" w14:textId="77777777" w:rsidR="003E6971" w:rsidRPr="002820C6" w:rsidRDefault="003E6971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7707892C" w14:textId="77777777" w:rsidR="00D46AA9" w:rsidRPr="002820C6" w:rsidRDefault="00D46AA9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292612B6" w14:textId="77777777" w:rsidR="000B401A" w:rsidRPr="002820C6" w:rsidRDefault="000B401A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DFEF90C" w14:textId="77777777" w:rsidR="000B401A" w:rsidRPr="002820C6" w:rsidRDefault="000B401A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0361C3C0" w14:textId="77777777" w:rsidR="00DA570A" w:rsidRPr="002820C6" w:rsidRDefault="00DA570A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743722D5" w14:textId="77777777" w:rsidR="00DA570A" w:rsidRPr="002820C6" w:rsidRDefault="00DA570A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p w14:paraId="756FA5AC" w14:textId="77777777" w:rsidR="00DA570A" w:rsidRPr="002820C6" w:rsidRDefault="00DA570A" w:rsidP="009E21C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</w:p>
    <w:sectPr w:rsidR="00DA570A" w:rsidRPr="002820C6" w:rsidSect="00865590">
      <w:pgSz w:w="16838" w:h="11906" w:orient="landscape" w:code="9"/>
      <w:pgMar w:top="1701" w:right="1245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FC6"/>
    <w:multiLevelType w:val="hybridMultilevel"/>
    <w:tmpl w:val="3262374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16E17452"/>
    <w:multiLevelType w:val="hybridMultilevel"/>
    <w:tmpl w:val="9A7E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5577F"/>
    <w:multiLevelType w:val="multilevel"/>
    <w:tmpl w:val="1A8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CA5604"/>
    <w:multiLevelType w:val="multilevel"/>
    <w:tmpl w:val="1A86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510BD"/>
    <w:multiLevelType w:val="hybridMultilevel"/>
    <w:tmpl w:val="0060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2723F"/>
    <w:multiLevelType w:val="hybridMultilevel"/>
    <w:tmpl w:val="547EC2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23191"/>
    <w:multiLevelType w:val="hybridMultilevel"/>
    <w:tmpl w:val="20CC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44"/>
    <w:rsid w:val="0002797D"/>
    <w:rsid w:val="0004280B"/>
    <w:rsid w:val="00045FAA"/>
    <w:rsid w:val="00061118"/>
    <w:rsid w:val="00061743"/>
    <w:rsid w:val="00096F4D"/>
    <w:rsid w:val="000A15F5"/>
    <w:rsid w:val="000A6609"/>
    <w:rsid w:val="000B401A"/>
    <w:rsid w:val="000D0CB8"/>
    <w:rsid w:val="00100F20"/>
    <w:rsid w:val="00121E6E"/>
    <w:rsid w:val="00122CBD"/>
    <w:rsid w:val="0015150A"/>
    <w:rsid w:val="00152C99"/>
    <w:rsid w:val="00166C4B"/>
    <w:rsid w:val="00173367"/>
    <w:rsid w:val="00181BD0"/>
    <w:rsid w:val="00185120"/>
    <w:rsid w:val="001863E6"/>
    <w:rsid w:val="00187872"/>
    <w:rsid w:val="00190F41"/>
    <w:rsid w:val="00197E8B"/>
    <w:rsid w:val="001A5E40"/>
    <w:rsid w:val="001A6E90"/>
    <w:rsid w:val="001B38A0"/>
    <w:rsid w:val="001B5B90"/>
    <w:rsid w:val="001C678F"/>
    <w:rsid w:val="001D0A76"/>
    <w:rsid w:val="001E10BE"/>
    <w:rsid w:val="001E7E0C"/>
    <w:rsid w:val="001F5F23"/>
    <w:rsid w:val="00201DD0"/>
    <w:rsid w:val="00202B89"/>
    <w:rsid w:val="00206D02"/>
    <w:rsid w:val="00223023"/>
    <w:rsid w:val="0024027B"/>
    <w:rsid w:val="00244874"/>
    <w:rsid w:val="002453FE"/>
    <w:rsid w:val="00261B88"/>
    <w:rsid w:val="002744FF"/>
    <w:rsid w:val="00274841"/>
    <w:rsid w:val="002806BD"/>
    <w:rsid w:val="002820C6"/>
    <w:rsid w:val="002A0ECB"/>
    <w:rsid w:val="002A66DF"/>
    <w:rsid w:val="002B4036"/>
    <w:rsid w:val="002E14F9"/>
    <w:rsid w:val="002E602D"/>
    <w:rsid w:val="002F732D"/>
    <w:rsid w:val="003251A5"/>
    <w:rsid w:val="0033263C"/>
    <w:rsid w:val="00347DCD"/>
    <w:rsid w:val="00351100"/>
    <w:rsid w:val="003663FB"/>
    <w:rsid w:val="00384614"/>
    <w:rsid w:val="00392114"/>
    <w:rsid w:val="003C2932"/>
    <w:rsid w:val="003C58D6"/>
    <w:rsid w:val="003D4D97"/>
    <w:rsid w:val="003E1C5A"/>
    <w:rsid w:val="003E4A13"/>
    <w:rsid w:val="003E6971"/>
    <w:rsid w:val="003F52CA"/>
    <w:rsid w:val="003F5F8C"/>
    <w:rsid w:val="0041767B"/>
    <w:rsid w:val="00430C8D"/>
    <w:rsid w:val="00443DD2"/>
    <w:rsid w:val="00444662"/>
    <w:rsid w:val="0044786D"/>
    <w:rsid w:val="004522DA"/>
    <w:rsid w:val="004634CC"/>
    <w:rsid w:val="00472F62"/>
    <w:rsid w:val="004903CA"/>
    <w:rsid w:val="004B0B64"/>
    <w:rsid w:val="004C0C84"/>
    <w:rsid w:val="004C40DD"/>
    <w:rsid w:val="004E0567"/>
    <w:rsid w:val="004E5E4E"/>
    <w:rsid w:val="004F2387"/>
    <w:rsid w:val="00501019"/>
    <w:rsid w:val="00505304"/>
    <w:rsid w:val="0051346D"/>
    <w:rsid w:val="005237C6"/>
    <w:rsid w:val="00534258"/>
    <w:rsid w:val="00553791"/>
    <w:rsid w:val="00554619"/>
    <w:rsid w:val="0056127A"/>
    <w:rsid w:val="00573E10"/>
    <w:rsid w:val="005778B2"/>
    <w:rsid w:val="0058576D"/>
    <w:rsid w:val="00590B28"/>
    <w:rsid w:val="00594101"/>
    <w:rsid w:val="005B0FCA"/>
    <w:rsid w:val="005C5926"/>
    <w:rsid w:val="005C7744"/>
    <w:rsid w:val="005C77C8"/>
    <w:rsid w:val="005D362B"/>
    <w:rsid w:val="00603006"/>
    <w:rsid w:val="00611639"/>
    <w:rsid w:val="00611DE5"/>
    <w:rsid w:val="00626760"/>
    <w:rsid w:val="00633D00"/>
    <w:rsid w:val="00634690"/>
    <w:rsid w:val="00665C9E"/>
    <w:rsid w:val="006756A3"/>
    <w:rsid w:val="006937ED"/>
    <w:rsid w:val="0069689E"/>
    <w:rsid w:val="006A0334"/>
    <w:rsid w:val="006A5E0C"/>
    <w:rsid w:val="006C091A"/>
    <w:rsid w:val="006D260B"/>
    <w:rsid w:val="006F0818"/>
    <w:rsid w:val="006F7C13"/>
    <w:rsid w:val="00733DB7"/>
    <w:rsid w:val="00741B83"/>
    <w:rsid w:val="0075428E"/>
    <w:rsid w:val="00755802"/>
    <w:rsid w:val="00760D42"/>
    <w:rsid w:val="0076445C"/>
    <w:rsid w:val="00781791"/>
    <w:rsid w:val="00792C90"/>
    <w:rsid w:val="007B2E33"/>
    <w:rsid w:val="007C453C"/>
    <w:rsid w:val="007E70DF"/>
    <w:rsid w:val="007F7C89"/>
    <w:rsid w:val="008048EF"/>
    <w:rsid w:val="008054D4"/>
    <w:rsid w:val="00840AF2"/>
    <w:rsid w:val="00865590"/>
    <w:rsid w:val="008814B5"/>
    <w:rsid w:val="008828B5"/>
    <w:rsid w:val="00883B99"/>
    <w:rsid w:val="00885E07"/>
    <w:rsid w:val="008868E6"/>
    <w:rsid w:val="00894322"/>
    <w:rsid w:val="008A21CF"/>
    <w:rsid w:val="008A491E"/>
    <w:rsid w:val="008A7F45"/>
    <w:rsid w:val="008B4385"/>
    <w:rsid w:val="008C51D2"/>
    <w:rsid w:val="008C7349"/>
    <w:rsid w:val="008E7A8F"/>
    <w:rsid w:val="00901A98"/>
    <w:rsid w:val="00913197"/>
    <w:rsid w:val="00932BFB"/>
    <w:rsid w:val="00940EA0"/>
    <w:rsid w:val="00952FD9"/>
    <w:rsid w:val="009542B9"/>
    <w:rsid w:val="0096387F"/>
    <w:rsid w:val="009641C8"/>
    <w:rsid w:val="00990B0B"/>
    <w:rsid w:val="00992BF5"/>
    <w:rsid w:val="00994A3C"/>
    <w:rsid w:val="009A636D"/>
    <w:rsid w:val="009D045F"/>
    <w:rsid w:val="009E0CFB"/>
    <w:rsid w:val="009E21CB"/>
    <w:rsid w:val="009E6E2B"/>
    <w:rsid w:val="009E7569"/>
    <w:rsid w:val="00A17CB5"/>
    <w:rsid w:val="00A2324D"/>
    <w:rsid w:val="00A23AC0"/>
    <w:rsid w:val="00A2600C"/>
    <w:rsid w:val="00A34F3E"/>
    <w:rsid w:val="00A50508"/>
    <w:rsid w:val="00A6273D"/>
    <w:rsid w:val="00A6436D"/>
    <w:rsid w:val="00A933A6"/>
    <w:rsid w:val="00AD093E"/>
    <w:rsid w:val="00AD3C4A"/>
    <w:rsid w:val="00AD7D95"/>
    <w:rsid w:val="00AF00B0"/>
    <w:rsid w:val="00B06927"/>
    <w:rsid w:val="00B13971"/>
    <w:rsid w:val="00B421F8"/>
    <w:rsid w:val="00B75228"/>
    <w:rsid w:val="00B9087D"/>
    <w:rsid w:val="00BA56D4"/>
    <w:rsid w:val="00BA6824"/>
    <w:rsid w:val="00BB0C5C"/>
    <w:rsid w:val="00BB1924"/>
    <w:rsid w:val="00BB5E86"/>
    <w:rsid w:val="00BB6495"/>
    <w:rsid w:val="00BC253C"/>
    <w:rsid w:val="00BD75A7"/>
    <w:rsid w:val="00BD7FEE"/>
    <w:rsid w:val="00C17B4B"/>
    <w:rsid w:val="00C20852"/>
    <w:rsid w:val="00C2453E"/>
    <w:rsid w:val="00C33EDA"/>
    <w:rsid w:val="00C37215"/>
    <w:rsid w:val="00C545ED"/>
    <w:rsid w:val="00C559E5"/>
    <w:rsid w:val="00C63BAD"/>
    <w:rsid w:val="00C75950"/>
    <w:rsid w:val="00C83445"/>
    <w:rsid w:val="00C90BD6"/>
    <w:rsid w:val="00C97BC9"/>
    <w:rsid w:val="00CB2C6B"/>
    <w:rsid w:val="00CB4A46"/>
    <w:rsid w:val="00CB6A3E"/>
    <w:rsid w:val="00CB73E7"/>
    <w:rsid w:val="00CB7A56"/>
    <w:rsid w:val="00CC1EE8"/>
    <w:rsid w:val="00CC39A4"/>
    <w:rsid w:val="00CD4153"/>
    <w:rsid w:val="00CE3099"/>
    <w:rsid w:val="00CF152A"/>
    <w:rsid w:val="00CF5413"/>
    <w:rsid w:val="00CF6295"/>
    <w:rsid w:val="00D01897"/>
    <w:rsid w:val="00D032E0"/>
    <w:rsid w:val="00D34AA1"/>
    <w:rsid w:val="00D367C5"/>
    <w:rsid w:val="00D46AA9"/>
    <w:rsid w:val="00D5190F"/>
    <w:rsid w:val="00D62CE8"/>
    <w:rsid w:val="00D650E8"/>
    <w:rsid w:val="00D82F9B"/>
    <w:rsid w:val="00D86367"/>
    <w:rsid w:val="00DA006D"/>
    <w:rsid w:val="00DA570A"/>
    <w:rsid w:val="00DA5AB6"/>
    <w:rsid w:val="00DB6A29"/>
    <w:rsid w:val="00DC0A5C"/>
    <w:rsid w:val="00DC746C"/>
    <w:rsid w:val="00DD16CF"/>
    <w:rsid w:val="00DE3AE1"/>
    <w:rsid w:val="00DE4749"/>
    <w:rsid w:val="00DE6F62"/>
    <w:rsid w:val="00DF792C"/>
    <w:rsid w:val="00E15893"/>
    <w:rsid w:val="00E26069"/>
    <w:rsid w:val="00E3666E"/>
    <w:rsid w:val="00E709E7"/>
    <w:rsid w:val="00E734E8"/>
    <w:rsid w:val="00E83080"/>
    <w:rsid w:val="00E92E69"/>
    <w:rsid w:val="00EC6B0C"/>
    <w:rsid w:val="00EE072E"/>
    <w:rsid w:val="00EE0973"/>
    <w:rsid w:val="00EE7C47"/>
    <w:rsid w:val="00F067FD"/>
    <w:rsid w:val="00F07BC0"/>
    <w:rsid w:val="00F127CD"/>
    <w:rsid w:val="00F24D0B"/>
    <w:rsid w:val="00F30961"/>
    <w:rsid w:val="00F454B7"/>
    <w:rsid w:val="00F52A21"/>
    <w:rsid w:val="00F81631"/>
    <w:rsid w:val="00F8422D"/>
    <w:rsid w:val="00F93328"/>
    <w:rsid w:val="00FA0BC7"/>
    <w:rsid w:val="00FB6354"/>
    <w:rsid w:val="00FC5F70"/>
    <w:rsid w:val="00FC71C3"/>
    <w:rsid w:val="00FD102D"/>
    <w:rsid w:val="00FD3414"/>
    <w:rsid w:val="00FE0AC7"/>
    <w:rsid w:val="00FE10ED"/>
    <w:rsid w:val="00FF0F35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F169"/>
  <w15:chartTrackingRefBased/>
  <w15:docId w15:val="{2E49917A-2BC1-47DD-BD0A-85889193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90"/>
    <w:pPr>
      <w:spacing w:line="256" w:lineRule="auto"/>
    </w:pPr>
    <w:rPr>
      <w:rFonts w:ascii="Arial" w:eastAsia="Calibri" w:hAnsi="Arial" w:cs="Times New Roman"/>
      <w:lang w:val="mn-M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65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5590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List">
    <w:name w:val="List"/>
    <w:basedOn w:val="Normal"/>
    <w:semiHidden/>
    <w:unhideWhenUsed/>
    <w:rsid w:val="009E21CB"/>
    <w:pPr>
      <w:suppressAutoHyphens/>
      <w:autoSpaceDN w:val="0"/>
      <w:spacing w:line="240" w:lineRule="auto"/>
      <w:ind w:left="283" w:hanging="283"/>
    </w:pPr>
    <w:rPr>
      <w:rFonts w:ascii="Times New Roman" w:eastAsia="Times New Roman" w:hAnsi="Times New Roman" w:cs="Lucida Sans"/>
      <w:kern w:val="3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2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1CB"/>
    <w:rPr>
      <w:rFonts w:ascii="Arial" w:eastAsia="Calibri" w:hAnsi="Arial" w:cs="Times New Roman"/>
      <w:sz w:val="20"/>
      <w:szCs w:val="20"/>
      <w:lang w:val="mn-M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1CB"/>
    <w:rPr>
      <w:rFonts w:ascii="Arial" w:eastAsia="Calibri" w:hAnsi="Arial" w:cs="Times New Roman"/>
      <w:b/>
      <w:bCs/>
      <w:sz w:val="20"/>
      <w:szCs w:val="20"/>
      <w:lang w:val="mn-MN" w:eastAsia="en-US"/>
    </w:rPr>
  </w:style>
  <w:style w:type="paragraph" w:styleId="ListParagraph">
    <w:name w:val="List Paragraph"/>
    <w:aliases w:val="IBL List Paragraph,Дэд гарчиг,Subtitle1,Colorful List - Accent 11,Bullets,List Paragraph1,Paragraph,Annexlist,Table Format,Heading Number,List Paragraph (numbered (a)),List Paragraph nowy,References,Numbered List Paragraph,Subtitle11"/>
    <w:basedOn w:val="Normal"/>
    <w:link w:val="ListParagraphChar"/>
    <w:uiPriority w:val="34"/>
    <w:qFormat/>
    <w:rsid w:val="00392114"/>
    <w:pPr>
      <w:ind w:left="720"/>
      <w:contextualSpacing/>
    </w:pPr>
  </w:style>
  <w:style w:type="character" w:customStyle="1" w:styleId="ListParagraphChar">
    <w:name w:val="List Paragraph Char"/>
    <w:aliases w:val="IBL List Paragraph Char,Дэд гарчиг Char,Subtitle1 Char,Colorful List - Accent 11 Char,Bullets Char,List Paragraph1 Char,Paragraph Char,Annexlist Char,Table Format Char,Heading Number Char,List Paragraph (numbered (a)) Char"/>
    <w:link w:val="ListParagraph"/>
    <w:uiPriority w:val="34"/>
    <w:locked/>
    <w:rsid w:val="002A66DF"/>
    <w:rPr>
      <w:rFonts w:ascii="Arial" w:eastAsia="Calibri" w:hAnsi="Arial" w:cs="Times New Roman"/>
      <w:lang w:val="mn-MN" w:eastAsia="en-US"/>
    </w:rPr>
  </w:style>
  <w:style w:type="paragraph" w:customStyle="1" w:styleId="paragraph">
    <w:name w:val="paragraph"/>
    <w:basedOn w:val="Normal"/>
    <w:rsid w:val="001A5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048E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048EF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3D4D97"/>
  </w:style>
  <w:style w:type="paragraph" w:styleId="BalloonText">
    <w:name w:val="Balloon Text"/>
    <w:basedOn w:val="Normal"/>
    <w:link w:val="BalloonTextChar"/>
    <w:uiPriority w:val="99"/>
    <w:semiHidden/>
    <w:unhideWhenUsed/>
    <w:rsid w:val="0028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C6"/>
    <w:rPr>
      <w:rFonts w:ascii="Segoe UI" w:eastAsia="Calibri" w:hAnsi="Segoe UI" w:cs="Segoe UI"/>
      <w:sz w:val="18"/>
      <w:szCs w:val="18"/>
      <w:lang w:val="mn-M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6D35CA7EDFC448E4138D35061DC2F" ma:contentTypeVersion="10" ma:contentTypeDescription="Create a new document." ma:contentTypeScope="" ma:versionID="9d99605314f33d5fdc6bcca196b524cd">
  <xsd:schema xmlns:xsd="http://www.w3.org/2001/XMLSchema" xmlns:xs="http://www.w3.org/2001/XMLSchema" xmlns:p="http://schemas.microsoft.com/office/2006/metadata/properties" xmlns:ns3="063cc8ea-82fc-4761-81a0-49e417e01472" targetNamespace="http://schemas.microsoft.com/office/2006/metadata/properties" ma:root="true" ma:fieldsID="63e427db0ca96c4ca843041be1440402" ns3:_="">
    <xsd:import namespace="063cc8ea-82fc-4761-81a0-49e417e01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c8ea-82fc-4761-81a0-49e417e01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AB8C6-A1CE-4DC7-AC1B-0F2B62301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F7C06-7823-454E-81E7-F15D8920C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FCF64-7F55-4EBC-A122-C103E3191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c8ea-82fc-4761-81a0-49e417e0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BDB54-165F-45AC-83F0-4A826368A9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Ариунзаяа.З, Аудитын менежер</dc:creator>
  <cp:keywords/>
  <dc:description/>
  <cp:lastModifiedBy>Жаргалан.Д, Ахлах шинжээч</cp:lastModifiedBy>
  <cp:revision>2</cp:revision>
  <cp:lastPrinted>2021-06-10T09:39:00Z</cp:lastPrinted>
  <dcterms:created xsi:type="dcterms:W3CDTF">2021-06-14T05:48:00Z</dcterms:created>
  <dcterms:modified xsi:type="dcterms:W3CDTF">2021-06-14T05:48:00Z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0x0101003006D35CA7EDFC448E4138D35061DC2F</vt:lpwstr>
  </property>
</Properties>
</file>